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3B19" w14:textId="77777777" w:rsidR="005D17E4" w:rsidRPr="007E4499" w:rsidRDefault="005D17E4" w:rsidP="005D17E4">
      <w:pPr>
        <w:spacing w:after="0" w:line="240" w:lineRule="auto"/>
        <w:jc w:val="center"/>
        <w:rPr>
          <w:b/>
          <w:sz w:val="28"/>
        </w:rPr>
      </w:pPr>
      <w:r w:rsidRPr="007E4499">
        <w:rPr>
          <w:b/>
          <w:sz w:val="28"/>
        </w:rPr>
        <w:t>Workforce Innovation and Opportunity Act</w:t>
      </w:r>
    </w:p>
    <w:p w14:paraId="6009ADE0" w14:textId="324D7FC8" w:rsidR="005D17E4" w:rsidRPr="007E4499" w:rsidRDefault="000A198E" w:rsidP="002008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MassHire </w:t>
      </w:r>
      <w:r w:rsidR="005D17E4" w:rsidRPr="007E4499">
        <w:rPr>
          <w:b/>
          <w:sz w:val="28"/>
        </w:rPr>
        <w:t xml:space="preserve">Greater Lowell Workforce Board </w:t>
      </w:r>
      <w:r w:rsidR="0020083C">
        <w:rPr>
          <w:b/>
          <w:sz w:val="28"/>
        </w:rPr>
        <w:t>Local 4 Year Plan</w:t>
      </w:r>
    </w:p>
    <w:p w14:paraId="6E6060AF" w14:textId="77777777" w:rsidR="005D17E4" w:rsidRPr="000A198E" w:rsidRDefault="005D17E4" w:rsidP="005D17E4">
      <w:pPr>
        <w:jc w:val="center"/>
        <w:rPr>
          <w:sz w:val="24"/>
          <w:szCs w:val="24"/>
        </w:rPr>
      </w:pPr>
    </w:p>
    <w:p w14:paraId="2A7A056E" w14:textId="1AED88B0" w:rsidR="000A198E" w:rsidRPr="000A198E" w:rsidRDefault="000901D8" w:rsidP="000A198E">
      <w:pPr>
        <w:spacing w:after="0" w:line="240" w:lineRule="auto"/>
        <w:jc w:val="center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Addendum</w:t>
      </w:r>
    </w:p>
    <w:p w14:paraId="026A1283" w14:textId="3C99C805" w:rsidR="005D17E4" w:rsidRPr="000A198E" w:rsidRDefault="0020083C" w:rsidP="000A198E">
      <w:pPr>
        <w:spacing w:after="0" w:line="240" w:lineRule="auto"/>
        <w:jc w:val="center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September 2019</w:t>
      </w:r>
    </w:p>
    <w:p w14:paraId="1D2754FF" w14:textId="77777777" w:rsidR="000A198E" w:rsidRPr="000A198E" w:rsidRDefault="000A198E" w:rsidP="005D17E4">
      <w:pPr>
        <w:rPr>
          <w:rFonts w:ascii="Gotham" w:hAnsi="Gotham"/>
          <w:b/>
          <w:sz w:val="24"/>
          <w:szCs w:val="24"/>
        </w:rPr>
      </w:pPr>
    </w:p>
    <w:p w14:paraId="3A54E5A9" w14:textId="551837F3" w:rsidR="005D17E4" w:rsidRPr="000A198E" w:rsidRDefault="005D17E4" w:rsidP="005D17E4">
      <w:pPr>
        <w:rPr>
          <w:rFonts w:ascii="Gotham" w:hAnsi="Gotham"/>
          <w:b/>
          <w:sz w:val="24"/>
          <w:szCs w:val="24"/>
        </w:rPr>
      </w:pPr>
      <w:r w:rsidRPr="000A198E">
        <w:rPr>
          <w:rFonts w:ascii="Gotham" w:hAnsi="Gotham"/>
          <w:b/>
          <w:sz w:val="24"/>
          <w:szCs w:val="24"/>
        </w:rPr>
        <w:t>Purpose</w:t>
      </w:r>
    </w:p>
    <w:p w14:paraId="42A83AD2" w14:textId="48CF69F6" w:rsidR="000A198E" w:rsidRDefault="005D17E4" w:rsidP="0020083C">
      <w:pPr>
        <w:jc w:val="both"/>
        <w:rPr>
          <w:rFonts w:ascii="Gotham" w:hAnsi="Gotham"/>
          <w:sz w:val="24"/>
          <w:szCs w:val="24"/>
        </w:rPr>
      </w:pPr>
      <w:r w:rsidRPr="000A198E">
        <w:rPr>
          <w:rFonts w:ascii="Gotham" w:hAnsi="Gotham"/>
          <w:sz w:val="24"/>
          <w:szCs w:val="24"/>
        </w:rPr>
        <w:t xml:space="preserve">This </w:t>
      </w:r>
      <w:r w:rsidR="000901D8">
        <w:rPr>
          <w:rFonts w:ascii="Gotham" w:hAnsi="Gotham"/>
          <w:sz w:val="24"/>
          <w:szCs w:val="24"/>
        </w:rPr>
        <w:t>addendum</w:t>
      </w:r>
      <w:r w:rsidRPr="000A198E">
        <w:rPr>
          <w:rFonts w:ascii="Gotham" w:hAnsi="Gotham"/>
          <w:sz w:val="24"/>
          <w:szCs w:val="24"/>
        </w:rPr>
        <w:t xml:space="preserve"> to the </w:t>
      </w:r>
      <w:r w:rsidR="0020083C">
        <w:rPr>
          <w:rFonts w:ascii="Gotham" w:hAnsi="Gotham"/>
          <w:sz w:val="24"/>
          <w:szCs w:val="24"/>
        </w:rPr>
        <w:t>Local 4 Year Plan</w:t>
      </w:r>
      <w:r w:rsidR="000901D8">
        <w:rPr>
          <w:rFonts w:ascii="Gotham" w:hAnsi="Gotham"/>
          <w:sz w:val="24"/>
          <w:szCs w:val="24"/>
        </w:rPr>
        <w:t xml:space="preserve"> approved July 1, 2017</w:t>
      </w:r>
      <w:r w:rsidRPr="000A198E">
        <w:rPr>
          <w:rFonts w:ascii="Gotham" w:hAnsi="Gotham"/>
          <w:sz w:val="24"/>
          <w:szCs w:val="24"/>
        </w:rPr>
        <w:t xml:space="preserve"> </w:t>
      </w:r>
      <w:r w:rsidR="0020083C">
        <w:rPr>
          <w:rFonts w:ascii="Gotham" w:hAnsi="Gotham"/>
          <w:sz w:val="24"/>
          <w:szCs w:val="24"/>
        </w:rPr>
        <w:t>include</w:t>
      </w:r>
      <w:r w:rsidR="00A50AF4">
        <w:rPr>
          <w:rFonts w:ascii="Gotham" w:hAnsi="Gotham"/>
          <w:sz w:val="24"/>
          <w:szCs w:val="24"/>
        </w:rPr>
        <w:t>s</w:t>
      </w:r>
      <w:bookmarkStart w:id="0" w:name="_GoBack"/>
      <w:bookmarkEnd w:id="0"/>
      <w:r w:rsidR="0020083C">
        <w:rPr>
          <w:rFonts w:ascii="Gotham" w:hAnsi="Gotham"/>
          <w:sz w:val="24"/>
          <w:szCs w:val="24"/>
        </w:rPr>
        <w:t xml:space="preserve"> a description of Rapid Response services and service</w:t>
      </w:r>
      <w:r w:rsidR="000901D8">
        <w:rPr>
          <w:rFonts w:ascii="Gotham" w:hAnsi="Gotham"/>
          <w:sz w:val="24"/>
          <w:szCs w:val="24"/>
        </w:rPr>
        <w:t>s</w:t>
      </w:r>
      <w:r w:rsidR="0020083C">
        <w:rPr>
          <w:rFonts w:ascii="Gotham" w:hAnsi="Gotham"/>
          <w:sz w:val="24"/>
          <w:szCs w:val="24"/>
        </w:rPr>
        <w:t xml:space="preserve"> provided to Migrant and Seasonal Farmworkers. Attachment A-Rapid Response and Attachment B-Migrant Seasonal Farmworkers outline </w:t>
      </w:r>
      <w:r w:rsidR="004478F3">
        <w:rPr>
          <w:rFonts w:ascii="Gotham" w:hAnsi="Gotham"/>
          <w:sz w:val="24"/>
          <w:szCs w:val="24"/>
        </w:rPr>
        <w:t>comprehensive</w:t>
      </w:r>
      <w:r w:rsidR="0020083C">
        <w:rPr>
          <w:rFonts w:ascii="Gotham" w:hAnsi="Gotham"/>
          <w:sz w:val="24"/>
          <w:szCs w:val="24"/>
        </w:rPr>
        <w:t xml:space="preserve"> strategies related to these services. </w:t>
      </w:r>
      <w:r w:rsidR="000901D8">
        <w:rPr>
          <w:rFonts w:ascii="Gotham" w:hAnsi="Gotham"/>
          <w:sz w:val="24"/>
          <w:szCs w:val="24"/>
        </w:rPr>
        <w:t xml:space="preserve"> The addendum provides clarification to the follow sections relative to Rapid Response and Migrant Season Farmworkers of the MassHire Greater Lowell Workforce Board Local 4 Year Plan:</w:t>
      </w:r>
    </w:p>
    <w:p w14:paraId="7D7345F3" w14:textId="16E8B4C4" w:rsidR="000901D8" w:rsidRDefault="000901D8" w:rsidP="0020083C">
      <w:pPr>
        <w:jc w:val="both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ab/>
        <w:t>Page 23-(b)(3)(ii)</w:t>
      </w:r>
    </w:p>
    <w:p w14:paraId="786B7806" w14:textId="7544C236" w:rsidR="000901D8" w:rsidRDefault="000901D8" w:rsidP="0020083C">
      <w:pPr>
        <w:jc w:val="both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ab/>
        <w:t>Page 28-(b)(7)</w:t>
      </w:r>
    </w:p>
    <w:p w14:paraId="69DB7E56" w14:textId="3C0E32BF" w:rsidR="000901D8" w:rsidRDefault="000901D8" w:rsidP="0020083C">
      <w:pPr>
        <w:jc w:val="both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ab/>
        <w:t>Page 31-(b)(12)</w:t>
      </w:r>
    </w:p>
    <w:p w14:paraId="07BD90DF" w14:textId="75B796EF" w:rsidR="000901D8" w:rsidRDefault="000901D8" w:rsidP="0020083C">
      <w:pPr>
        <w:jc w:val="both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ab/>
        <w:t>Page 32-(b)(14)</w:t>
      </w:r>
    </w:p>
    <w:p w14:paraId="1F2646F0" w14:textId="1A7C1F42" w:rsidR="000901D8" w:rsidRDefault="000901D8" w:rsidP="0020083C">
      <w:pPr>
        <w:jc w:val="both"/>
        <w:rPr>
          <w:rFonts w:ascii="Gotham" w:hAnsi="Gotham"/>
          <w:sz w:val="24"/>
          <w:szCs w:val="24"/>
        </w:rPr>
      </w:pPr>
    </w:p>
    <w:p w14:paraId="26C7F80D" w14:textId="059B08F3" w:rsidR="000901D8" w:rsidRDefault="000901D8" w:rsidP="0020083C">
      <w:pPr>
        <w:jc w:val="both"/>
        <w:rPr>
          <w:rFonts w:ascii="Gotham" w:hAnsi="Gotham"/>
          <w:b/>
          <w:bCs/>
          <w:sz w:val="24"/>
          <w:szCs w:val="24"/>
        </w:rPr>
      </w:pPr>
      <w:r w:rsidRPr="000901D8">
        <w:rPr>
          <w:rFonts w:ascii="Gotham" w:hAnsi="Gotham"/>
          <w:b/>
          <w:bCs/>
          <w:sz w:val="24"/>
          <w:szCs w:val="24"/>
        </w:rPr>
        <w:t>Addendum Content</w:t>
      </w:r>
    </w:p>
    <w:p w14:paraId="27B31604" w14:textId="452409DE" w:rsidR="000901D8" w:rsidRDefault="000901D8" w:rsidP="0020083C">
      <w:pPr>
        <w:jc w:val="both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Attachment A-Rapid Response</w:t>
      </w:r>
    </w:p>
    <w:p w14:paraId="129B5DA5" w14:textId="47D33DDD" w:rsidR="000901D8" w:rsidRPr="000901D8" w:rsidRDefault="00BF4CDC" w:rsidP="0020083C">
      <w:pPr>
        <w:jc w:val="both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Attachment B-Migrant Seasonal Farmworkers</w:t>
      </w:r>
    </w:p>
    <w:p w14:paraId="1106271C" w14:textId="77777777" w:rsidR="001F3BBB" w:rsidRPr="000A198E" w:rsidRDefault="001F3BBB" w:rsidP="000A198E">
      <w:pPr>
        <w:jc w:val="both"/>
        <w:rPr>
          <w:rFonts w:ascii="Gotham" w:hAnsi="Gotham"/>
          <w:sz w:val="24"/>
          <w:szCs w:val="24"/>
        </w:rPr>
      </w:pPr>
    </w:p>
    <w:p w14:paraId="4613BC75" w14:textId="77777777" w:rsidR="000A198E" w:rsidRPr="000A198E" w:rsidRDefault="000A198E" w:rsidP="000A198E">
      <w:pPr>
        <w:rPr>
          <w:rFonts w:ascii="Gotham" w:hAnsi="Gotham"/>
          <w:sz w:val="24"/>
          <w:szCs w:val="24"/>
        </w:rPr>
      </w:pPr>
    </w:p>
    <w:sectPr w:rsidR="000A198E" w:rsidRPr="000A198E" w:rsidSect="00081C8F">
      <w:headerReference w:type="first" r:id="rId7"/>
      <w:footerReference w:type="first" r:id="rId8"/>
      <w:pgSz w:w="12240" w:h="15840" w:code="1"/>
      <w:pgMar w:top="28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8FD9" w14:textId="77777777" w:rsidR="00CB0782" w:rsidRDefault="00CB0782" w:rsidP="008A3630">
      <w:pPr>
        <w:spacing w:after="0" w:line="240" w:lineRule="auto"/>
      </w:pPr>
      <w:r>
        <w:separator/>
      </w:r>
    </w:p>
  </w:endnote>
  <w:endnote w:type="continuationSeparator" w:id="0">
    <w:p w14:paraId="1D53F6AD" w14:textId="77777777" w:rsidR="00CB0782" w:rsidRDefault="00CB0782" w:rsidP="008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9ECE" w14:textId="284C6686" w:rsidR="0059251D" w:rsidRPr="00F6732F" w:rsidRDefault="00F6732F" w:rsidP="00F6732F">
    <w:pPr>
      <w:pStyle w:val="Footer"/>
    </w:pPr>
    <w:r w:rsidRPr="00120DB1">
      <w:t>www.</w:t>
    </w:r>
    <w:r w:rsidR="00493A49">
      <w:t>MassH</w:t>
    </w:r>
    <w:r>
      <w:t>ire</w:t>
    </w:r>
    <w:r w:rsidR="007F3EC4">
      <w:t>G</w:t>
    </w:r>
    <w:r w:rsidR="008773A3">
      <w:t>reaterLowell</w:t>
    </w:r>
    <w:r w:rsidR="00DF376B">
      <w:t>.</w:t>
    </w:r>
    <w:r w:rsidR="000A198E"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EADF" w14:textId="77777777" w:rsidR="00CB0782" w:rsidRDefault="00CB0782" w:rsidP="008A3630">
      <w:pPr>
        <w:spacing w:after="0" w:line="240" w:lineRule="auto"/>
      </w:pPr>
      <w:r>
        <w:separator/>
      </w:r>
    </w:p>
  </w:footnote>
  <w:footnote w:type="continuationSeparator" w:id="0">
    <w:p w14:paraId="57D27E02" w14:textId="77777777" w:rsidR="00CB0782" w:rsidRDefault="00CB0782" w:rsidP="008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1C0B" w14:textId="77777777" w:rsidR="008A3630" w:rsidRDefault="008773A3" w:rsidP="00506E83">
    <w:pPr>
      <w:pStyle w:val="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A90D4" wp14:editId="1062F899">
          <wp:simplePos x="0" y="0"/>
          <wp:positionH relativeFrom="column">
            <wp:posOffset>-614045</wp:posOffset>
          </wp:positionH>
          <wp:positionV relativeFrom="paragraph">
            <wp:posOffset>-480505</wp:posOffset>
          </wp:positionV>
          <wp:extent cx="6032665" cy="1855105"/>
          <wp:effectExtent l="0" t="0" r="0" b="0"/>
          <wp:wrapNone/>
          <wp:docPr id="1" name="Picture 1" descr="C:\Users\marina.r.zhavoronkov\Desktop\Board Logos\Workforce_Lowel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Lowel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665" cy="185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  <w:r w:rsidR="00FE59B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E7C86B" wp14:editId="3A008B9C">
              <wp:simplePos x="0" y="0"/>
              <wp:positionH relativeFrom="margin">
                <wp:posOffset>4216400</wp:posOffset>
              </wp:positionH>
              <wp:positionV relativeFrom="page">
                <wp:posOffset>546100</wp:posOffset>
              </wp:positionV>
              <wp:extent cx="2356485" cy="557530"/>
              <wp:effectExtent l="0" t="0" r="5715" b="139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8B83D" w14:textId="77777777" w:rsidR="008773A3" w:rsidRDefault="008773A3" w:rsidP="00F6732F">
                          <w:pPr>
                            <w:pStyle w:val="Header"/>
                          </w:pPr>
                          <w:r>
                            <w:t>107 Merrimack St</w:t>
                          </w:r>
                        </w:p>
                        <w:p w14:paraId="7DC0CA75" w14:textId="77777777" w:rsidR="008773A3" w:rsidRDefault="008773A3" w:rsidP="00F6732F">
                          <w:pPr>
                            <w:pStyle w:val="Header"/>
                          </w:pPr>
                          <w:r>
                            <w:t>Lowell, MA 01852</w:t>
                          </w:r>
                        </w:p>
                        <w:p w14:paraId="6823E396" w14:textId="77777777" w:rsidR="008A3630" w:rsidRPr="0059251D" w:rsidRDefault="008773A3" w:rsidP="00F6732F">
                          <w:pPr>
                            <w:pStyle w:val="Header"/>
                          </w:pPr>
                          <w:r>
                            <w:t>978.937.9816</w:t>
                          </w:r>
                          <w:r w:rsidR="00F6732F" w:rsidRPr="00F6732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7C8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pt;margin-top:43pt;width:185.5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" filled="f" stroked="f" strokeweight=".5pt">
              <v:textbox inset="0,0,0,0">
                <w:txbxContent>
                  <w:p w14:paraId="41F8B83D" w14:textId="77777777" w:rsidR="008773A3" w:rsidRDefault="008773A3" w:rsidP="00F6732F">
                    <w:pPr>
                      <w:pStyle w:val="Header"/>
                    </w:pPr>
                    <w:r>
                      <w:t>107 Merrimack St</w:t>
                    </w:r>
                  </w:p>
                  <w:p w14:paraId="7DC0CA75" w14:textId="77777777" w:rsidR="008773A3" w:rsidRDefault="008773A3" w:rsidP="00F6732F">
                    <w:pPr>
                      <w:pStyle w:val="Header"/>
                    </w:pPr>
                    <w:r>
                      <w:t>Lowell, MA 01852</w:t>
                    </w:r>
                  </w:p>
                  <w:p w14:paraId="6823E396" w14:textId="77777777" w:rsidR="008A3630" w:rsidRPr="0059251D" w:rsidRDefault="008773A3" w:rsidP="00F6732F">
                    <w:pPr>
                      <w:pStyle w:val="Header"/>
                    </w:pPr>
                    <w:r>
                      <w:t>978.937.9816</w:t>
                    </w:r>
                    <w:r w:rsidR="00F6732F" w:rsidRPr="00F6732F">
                      <w:t xml:space="preserve"> 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1"/>
    <w:rsid w:val="00037167"/>
    <w:rsid w:val="000426E4"/>
    <w:rsid w:val="00081C8F"/>
    <w:rsid w:val="000901D8"/>
    <w:rsid w:val="000A198E"/>
    <w:rsid w:val="000C09B1"/>
    <w:rsid w:val="000D408A"/>
    <w:rsid w:val="000E76AE"/>
    <w:rsid w:val="00134BA8"/>
    <w:rsid w:val="001444F9"/>
    <w:rsid w:val="00151D65"/>
    <w:rsid w:val="00154E50"/>
    <w:rsid w:val="001631EB"/>
    <w:rsid w:val="001F3754"/>
    <w:rsid w:val="001F3BBB"/>
    <w:rsid w:val="0020083C"/>
    <w:rsid w:val="00220221"/>
    <w:rsid w:val="0026449B"/>
    <w:rsid w:val="002816E0"/>
    <w:rsid w:val="0028172D"/>
    <w:rsid w:val="00295A36"/>
    <w:rsid w:val="002E2F58"/>
    <w:rsid w:val="00301993"/>
    <w:rsid w:val="00391349"/>
    <w:rsid w:val="00394BB8"/>
    <w:rsid w:val="003E4117"/>
    <w:rsid w:val="003F2E42"/>
    <w:rsid w:val="004478F3"/>
    <w:rsid w:val="00454EAA"/>
    <w:rsid w:val="004722DB"/>
    <w:rsid w:val="0049023A"/>
    <w:rsid w:val="00493A49"/>
    <w:rsid w:val="004C230E"/>
    <w:rsid w:val="004C4D1F"/>
    <w:rsid w:val="004D318C"/>
    <w:rsid w:val="004F65AC"/>
    <w:rsid w:val="00506E83"/>
    <w:rsid w:val="00574A6A"/>
    <w:rsid w:val="00575670"/>
    <w:rsid w:val="00575F67"/>
    <w:rsid w:val="00584474"/>
    <w:rsid w:val="0059251D"/>
    <w:rsid w:val="005B3557"/>
    <w:rsid w:val="005B58D8"/>
    <w:rsid w:val="005D17E4"/>
    <w:rsid w:val="00610090"/>
    <w:rsid w:val="00631954"/>
    <w:rsid w:val="006607AB"/>
    <w:rsid w:val="00705E44"/>
    <w:rsid w:val="0077664C"/>
    <w:rsid w:val="0078489D"/>
    <w:rsid w:val="007F3EC4"/>
    <w:rsid w:val="007F5DF3"/>
    <w:rsid w:val="00864E72"/>
    <w:rsid w:val="00865629"/>
    <w:rsid w:val="008670DF"/>
    <w:rsid w:val="008773A3"/>
    <w:rsid w:val="00881972"/>
    <w:rsid w:val="00887DD7"/>
    <w:rsid w:val="008A3630"/>
    <w:rsid w:val="008B439D"/>
    <w:rsid w:val="008B4DFB"/>
    <w:rsid w:val="008B77B6"/>
    <w:rsid w:val="008D5426"/>
    <w:rsid w:val="008D7DA7"/>
    <w:rsid w:val="00903E4B"/>
    <w:rsid w:val="00941E71"/>
    <w:rsid w:val="009427FD"/>
    <w:rsid w:val="0097371C"/>
    <w:rsid w:val="00976529"/>
    <w:rsid w:val="009941BF"/>
    <w:rsid w:val="00994DF7"/>
    <w:rsid w:val="009A2219"/>
    <w:rsid w:val="009B5DA5"/>
    <w:rsid w:val="009E6167"/>
    <w:rsid w:val="009F1BFC"/>
    <w:rsid w:val="009F6978"/>
    <w:rsid w:val="00A05AA5"/>
    <w:rsid w:val="00A1198C"/>
    <w:rsid w:val="00A20F88"/>
    <w:rsid w:val="00A45162"/>
    <w:rsid w:val="00A50AF4"/>
    <w:rsid w:val="00A86D7C"/>
    <w:rsid w:val="00AA3D9F"/>
    <w:rsid w:val="00AA4EC5"/>
    <w:rsid w:val="00AB5F51"/>
    <w:rsid w:val="00AF3E0E"/>
    <w:rsid w:val="00B1100C"/>
    <w:rsid w:val="00B5400E"/>
    <w:rsid w:val="00B9485B"/>
    <w:rsid w:val="00B96096"/>
    <w:rsid w:val="00BA2624"/>
    <w:rsid w:val="00BF4CDC"/>
    <w:rsid w:val="00C4730E"/>
    <w:rsid w:val="00C53C20"/>
    <w:rsid w:val="00C6494F"/>
    <w:rsid w:val="00C66157"/>
    <w:rsid w:val="00C7793C"/>
    <w:rsid w:val="00C82151"/>
    <w:rsid w:val="00CA7E60"/>
    <w:rsid w:val="00CB0782"/>
    <w:rsid w:val="00CB0F71"/>
    <w:rsid w:val="00CD5947"/>
    <w:rsid w:val="00CE45C0"/>
    <w:rsid w:val="00D02875"/>
    <w:rsid w:val="00D05B66"/>
    <w:rsid w:val="00DD5F1B"/>
    <w:rsid w:val="00DF0B57"/>
    <w:rsid w:val="00DF376B"/>
    <w:rsid w:val="00E23522"/>
    <w:rsid w:val="00E90B5F"/>
    <w:rsid w:val="00EB43A0"/>
    <w:rsid w:val="00EC0BC1"/>
    <w:rsid w:val="00F1731C"/>
    <w:rsid w:val="00F31169"/>
    <w:rsid w:val="00F648A7"/>
    <w:rsid w:val="00F6732F"/>
    <w:rsid w:val="00FC16B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85D36A"/>
  <w15:docId w15:val="{6610310A-26DE-4464-83AD-1CCFE09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spacing w:after="0" w:line="240" w:lineRule="auto"/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9F69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94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9F20-30DD-4870-871B-0A7F8F2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Zhavoronkova, Marina R  (EOLWD)</dc:creator>
  <cp:lastModifiedBy>Nancy McGovern</cp:lastModifiedBy>
  <cp:revision>4</cp:revision>
  <cp:lastPrinted>2018-05-15T02:51:00Z</cp:lastPrinted>
  <dcterms:created xsi:type="dcterms:W3CDTF">2019-09-17T14:05:00Z</dcterms:created>
  <dcterms:modified xsi:type="dcterms:W3CDTF">2019-09-17T14:26:00Z</dcterms:modified>
</cp:coreProperties>
</file>